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B1052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0BD3" w:rsidRDefault="007B0BD3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095A66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="007B0BD3">
        <w:rPr>
          <w:rFonts w:ascii="Arial" w:hAnsi="Arial" w:cs="Arial"/>
          <w:b/>
          <w:bCs/>
          <w:sz w:val="20"/>
          <w:szCs w:val="20"/>
          <w:u w:val="single"/>
        </w:rPr>
        <w:t>8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413D9A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7B0BD3">
        <w:rPr>
          <w:rFonts w:ascii="Arial" w:hAnsi="Arial" w:cs="Arial"/>
          <w:b/>
          <w:bCs/>
          <w:sz w:val="20"/>
          <w:szCs w:val="20"/>
          <w:u w:val="single"/>
        </w:rPr>
        <w:t>03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7B0BD3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3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Default="0026615F" w:rsidP="00F0327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Ata nº 1.06</w:t>
      </w:r>
      <w:r w:rsidR="007B0BD3">
        <w:rPr>
          <w:rFonts w:ascii="Arial" w:hAnsi="Arial" w:cs="Arial"/>
          <w:b/>
          <w:sz w:val="20"/>
          <w:szCs w:val="20"/>
        </w:rPr>
        <w:t>7</w:t>
      </w:r>
      <w:r w:rsidRPr="004E53D3">
        <w:rPr>
          <w:rFonts w:ascii="Arial" w:hAnsi="Arial" w:cs="Arial"/>
          <w:b/>
          <w:sz w:val="20"/>
          <w:szCs w:val="20"/>
        </w:rPr>
        <w:t xml:space="preserve">/2023 da Sessão ordinária do dia </w:t>
      </w:r>
      <w:r w:rsidR="008A19C9">
        <w:rPr>
          <w:rFonts w:ascii="Arial" w:hAnsi="Arial" w:cs="Arial"/>
          <w:b/>
          <w:sz w:val="20"/>
          <w:szCs w:val="20"/>
        </w:rPr>
        <w:t>2</w:t>
      </w:r>
      <w:r w:rsidR="007B0BD3">
        <w:rPr>
          <w:rFonts w:ascii="Arial" w:hAnsi="Arial" w:cs="Arial"/>
          <w:b/>
          <w:sz w:val="20"/>
          <w:szCs w:val="20"/>
        </w:rPr>
        <w:t>7</w:t>
      </w:r>
      <w:r w:rsidRPr="004E53D3">
        <w:rPr>
          <w:rFonts w:ascii="Arial" w:hAnsi="Arial" w:cs="Arial"/>
          <w:b/>
          <w:sz w:val="20"/>
          <w:szCs w:val="20"/>
        </w:rPr>
        <w:t>/0</w:t>
      </w:r>
      <w:r w:rsidR="00D8426D">
        <w:rPr>
          <w:rFonts w:ascii="Arial" w:hAnsi="Arial" w:cs="Arial"/>
          <w:b/>
          <w:sz w:val="20"/>
          <w:szCs w:val="20"/>
        </w:rPr>
        <w:t>3</w:t>
      </w:r>
      <w:r w:rsidRPr="004E53D3">
        <w:rPr>
          <w:rFonts w:ascii="Arial" w:hAnsi="Arial" w:cs="Arial"/>
          <w:b/>
          <w:sz w:val="20"/>
          <w:szCs w:val="20"/>
        </w:rPr>
        <w:t>/2023:</w:t>
      </w:r>
      <w:r w:rsidRPr="004E53D3">
        <w:rPr>
          <w:rFonts w:ascii="Arial" w:hAnsi="Arial" w:cs="Arial"/>
          <w:sz w:val="20"/>
          <w:szCs w:val="20"/>
        </w:rPr>
        <w:t xml:space="preserve"> </w:t>
      </w:r>
      <w:r w:rsidRPr="004E53D3">
        <w:rPr>
          <w:rFonts w:ascii="Arial" w:hAnsi="Arial" w:cs="Arial"/>
          <w:b/>
          <w:sz w:val="20"/>
          <w:szCs w:val="20"/>
        </w:rPr>
        <w:t>Aprovada por Unanimidade;</w:t>
      </w:r>
    </w:p>
    <w:p w:rsidR="00D1623D" w:rsidRPr="004E53D3" w:rsidRDefault="00D1623D" w:rsidP="00F03272">
      <w:pPr>
        <w:spacing w:after="0" w:line="240" w:lineRule="auto"/>
        <w:ind w:left="709"/>
        <w:jc w:val="both"/>
        <w:rPr>
          <w:rFonts w:ascii="Arial" w:hAnsi="Arial" w:cs="Arial"/>
          <w:b/>
          <w:sz w:val="20"/>
          <w:szCs w:val="20"/>
        </w:rPr>
      </w:pPr>
    </w:p>
    <w:p w:rsidR="00D1623D" w:rsidRPr="004E53D3" w:rsidRDefault="00D1623D" w:rsidP="00F032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5C05D2" w:rsidRPr="00F03272" w:rsidRDefault="005C05D2" w:rsidP="00F03272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Projeto de Lei Complementar </w:t>
      </w:r>
      <w:r w:rsidR="00C85B9B">
        <w:rPr>
          <w:rFonts w:ascii="Arial" w:eastAsia="Times New Roman" w:hAnsi="Arial" w:cs="Arial"/>
          <w:b/>
          <w:sz w:val="20"/>
          <w:szCs w:val="20"/>
        </w:rPr>
        <w:t xml:space="preserve">nº 152/2023 </w:t>
      </w:r>
      <w:r>
        <w:rPr>
          <w:rFonts w:ascii="Arial" w:eastAsia="Times New Roman" w:hAnsi="Arial" w:cs="Arial"/>
          <w:b/>
          <w:sz w:val="20"/>
          <w:szCs w:val="20"/>
        </w:rPr>
        <w:t xml:space="preserve">que – </w:t>
      </w:r>
      <w:r w:rsidR="007B0BD3">
        <w:rPr>
          <w:rFonts w:ascii="Arial" w:eastAsia="Times New Roman" w:hAnsi="Arial" w:cs="Arial"/>
          <w:b/>
          <w:sz w:val="20"/>
          <w:szCs w:val="20"/>
        </w:rPr>
        <w:t>“</w:t>
      </w:r>
      <w:r w:rsidRPr="005C05D2">
        <w:rPr>
          <w:rFonts w:ascii="Arial" w:eastAsia="Arial" w:hAnsi="Arial" w:cs="Arial"/>
          <w:sz w:val="20"/>
          <w:szCs w:val="20"/>
        </w:rPr>
        <w:t>Cria o cargo de terapeuta ocupacional, com carga horária de 20 (vinte) horas semanais e dá outras providências.</w:t>
      </w:r>
      <w:r w:rsidR="007B0BD3">
        <w:rPr>
          <w:rFonts w:ascii="Arial" w:eastAsia="Arial" w:hAnsi="Arial" w:cs="Arial"/>
          <w:sz w:val="20"/>
          <w:szCs w:val="20"/>
        </w:rPr>
        <w:t>”</w:t>
      </w:r>
      <w:r w:rsidR="007B0BD3" w:rsidRPr="007B0BD3">
        <w:rPr>
          <w:rFonts w:ascii="Arial" w:eastAsia="Times New Roman" w:hAnsi="Arial" w:cs="Arial"/>
        </w:rPr>
        <w:t xml:space="preserve"> </w:t>
      </w:r>
      <w:r w:rsidR="007B0BD3" w:rsidRPr="007B0BD3">
        <w:rPr>
          <w:rFonts w:ascii="Arial" w:eastAsia="Times New Roman" w:hAnsi="Arial" w:cs="Arial"/>
          <w:b/>
        </w:rPr>
        <w:t>Aprovado por Unanimidade</w:t>
      </w:r>
      <w:r w:rsidRPr="005C05D2">
        <w:rPr>
          <w:rFonts w:ascii="Arial" w:eastAsia="Arial" w:hAnsi="Arial" w:cs="Arial"/>
          <w:b/>
          <w:sz w:val="20"/>
          <w:szCs w:val="20"/>
        </w:rPr>
        <w:t>;</w:t>
      </w:r>
    </w:p>
    <w:p w:rsidR="00F03272" w:rsidRPr="005C05D2" w:rsidRDefault="00F03272" w:rsidP="00F0327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B0BD3" w:rsidRPr="00F03272" w:rsidRDefault="005C05D2" w:rsidP="00F03272">
      <w:pPr>
        <w:pStyle w:val="Recuodecorpodetexto"/>
        <w:numPr>
          <w:ilvl w:val="0"/>
          <w:numId w:val="27"/>
        </w:numPr>
        <w:tabs>
          <w:tab w:val="left" w:pos="3774"/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Arial" w:hAnsi="Arial" w:cs="Arial"/>
          <w:b/>
          <w:sz w:val="20"/>
          <w:szCs w:val="20"/>
        </w:rPr>
      </w:pPr>
      <w:r w:rsidRPr="007B0BD3">
        <w:rPr>
          <w:rFonts w:ascii="Arial" w:eastAsia="Times New Roman" w:hAnsi="Arial" w:cs="Arial"/>
          <w:b/>
          <w:sz w:val="20"/>
          <w:szCs w:val="20"/>
        </w:rPr>
        <w:t>Projeto de</w:t>
      </w:r>
      <w:r w:rsidR="007B0BD3">
        <w:rPr>
          <w:rFonts w:ascii="Arial" w:eastAsia="Times New Roman" w:hAnsi="Arial" w:cs="Arial"/>
          <w:b/>
          <w:sz w:val="20"/>
          <w:szCs w:val="20"/>
        </w:rPr>
        <w:t xml:space="preserve"> Lei Complementar nº. 153/2023 que – “</w:t>
      </w:r>
      <w:r w:rsidR="007B0BD3" w:rsidRPr="007B0BD3">
        <w:rPr>
          <w:rFonts w:ascii="Arial" w:eastAsia="Arial" w:hAnsi="Arial" w:cs="Arial"/>
          <w:color w:val="000000" w:themeColor="text1"/>
          <w:sz w:val="20"/>
          <w:szCs w:val="20"/>
        </w:rPr>
        <w:t>Transforma os cargos de pedagogo em coordenador pedagógico, altera a Lei Complementar n° 011, de 16 de dezembro de 2003, e dá outras providências.</w:t>
      </w:r>
      <w:r w:rsidR="007B0BD3">
        <w:rPr>
          <w:rFonts w:ascii="Arial" w:eastAsia="Arial" w:hAnsi="Arial" w:cs="Arial"/>
          <w:color w:val="000000" w:themeColor="text1"/>
          <w:sz w:val="20"/>
          <w:szCs w:val="20"/>
        </w:rPr>
        <w:t xml:space="preserve">” </w:t>
      </w:r>
      <w:r w:rsidR="007B0BD3" w:rsidRPr="007B0BD3">
        <w:rPr>
          <w:rFonts w:ascii="Arial" w:eastAsia="Arial" w:hAnsi="Arial" w:cs="Arial"/>
          <w:b/>
          <w:color w:val="000000" w:themeColor="text1"/>
          <w:sz w:val="20"/>
          <w:szCs w:val="20"/>
        </w:rPr>
        <w:t>Baixou às Comissões</w:t>
      </w:r>
      <w:r w:rsidR="007B0BD3">
        <w:rPr>
          <w:rFonts w:ascii="Arial" w:eastAsia="Arial" w:hAnsi="Arial" w:cs="Arial"/>
          <w:color w:val="000000" w:themeColor="text1"/>
          <w:sz w:val="20"/>
          <w:szCs w:val="20"/>
        </w:rPr>
        <w:t>;</w:t>
      </w:r>
    </w:p>
    <w:p w:rsidR="00F03272" w:rsidRPr="007B0BD3" w:rsidRDefault="00F03272" w:rsidP="00F03272">
      <w:pPr>
        <w:pStyle w:val="Recuodecorpodetexto"/>
        <w:tabs>
          <w:tab w:val="left" w:pos="3774"/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b/>
          <w:sz w:val="20"/>
          <w:szCs w:val="20"/>
        </w:rPr>
      </w:pPr>
    </w:p>
    <w:p w:rsidR="007B0BD3" w:rsidRPr="007B0BD3" w:rsidRDefault="007B0BD3" w:rsidP="007B0BD3">
      <w:pPr>
        <w:pStyle w:val="PargrafodaLista"/>
        <w:numPr>
          <w:ilvl w:val="0"/>
          <w:numId w:val="27"/>
        </w:numPr>
        <w:tabs>
          <w:tab w:val="left" w:pos="1080"/>
          <w:tab w:val="left" w:pos="3774"/>
        </w:tabs>
        <w:spacing w:line="240" w:lineRule="auto"/>
        <w:jc w:val="both"/>
        <w:rPr>
          <w:rFonts w:ascii="Arial" w:eastAsia="Arial" w:hAnsi="Arial" w:cs="Arial"/>
          <w:b/>
          <w:color w:val="000000" w:themeColor="text1"/>
        </w:rPr>
      </w:pPr>
      <w:r w:rsidRPr="007B0BD3">
        <w:rPr>
          <w:rFonts w:ascii="Arial" w:eastAsia="Times New Roman" w:hAnsi="Arial" w:cs="Arial"/>
          <w:b/>
          <w:sz w:val="20"/>
          <w:szCs w:val="20"/>
        </w:rPr>
        <w:t>Projeto de</w:t>
      </w:r>
      <w:r>
        <w:rPr>
          <w:rFonts w:ascii="Arial" w:eastAsia="Times New Roman" w:hAnsi="Arial" w:cs="Arial"/>
          <w:b/>
          <w:sz w:val="20"/>
          <w:szCs w:val="20"/>
        </w:rPr>
        <w:t xml:space="preserve"> Lei Complementar nº. 154/2023 que – “</w:t>
      </w:r>
      <w:r w:rsidRPr="007B0BD3">
        <w:rPr>
          <w:rFonts w:ascii="Arial" w:eastAsia="Arial" w:hAnsi="Arial" w:cs="Arial"/>
          <w:sz w:val="20"/>
          <w:szCs w:val="20"/>
        </w:rPr>
        <w:t>Altera a redação da especificação do cargo de visitador domiciliar de saúde e dá outras providências</w:t>
      </w:r>
      <w:r>
        <w:rPr>
          <w:rFonts w:ascii="Arial" w:eastAsia="Arial" w:hAnsi="Arial" w:cs="Arial"/>
          <w:sz w:val="20"/>
          <w:szCs w:val="20"/>
        </w:rPr>
        <w:t>”</w:t>
      </w:r>
      <w:r w:rsidRPr="007B0BD3">
        <w:rPr>
          <w:rFonts w:ascii="Arial" w:eastAsia="Arial" w:hAnsi="Arial" w:cs="Arial"/>
          <w:i/>
          <w:sz w:val="20"/>
          <w:szCs w:val="20"/>
        </w:rPr>
        <w:t>.</w:t>
      </w:r>
      <w:r w:rsidRPr="007B0BD3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Baixou às Comissões</w:t>
      </w:r>
    </w:p>
    <w:p w:rsidR="00F03272" w:rsidRPr="00F03272" w:rsidRDefault="007B0BD3" w:rsidP="00F03272">
      <w:pPr>
        <w:pStyle w:val="Recuodecorpodetexto"/>
        <w:numPr>
          <w:ilvl w:val="0"/>
          <w:numId w:val="27"/>
        </w:numPr>
        <w:tabs>
          <w:tab w:val="left" w:pos="3774"/>
          <w:tab w:val="left" w:pos="4253"/>
          <w:tab w:val="left" w:pos="5387"/>
        </w:tabs>
        <w:spacing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7B0BD3">
        <w:rPr>
          <w:rFonts w:ascii="Arial" w:eastAsia="Times New Roman" w:hAnsi="Arial" w:cs="Arial"/>
          <w:b/>
          <w:sz w:val="20"/>
          <w:szCs w:val="20"/>
        </w:rPr>
        <w:t>Projeto de</w:t>
      </w:r>
      <w:r>
        <w:rPr>
          <w:rFonts w:ascii="Arial" w:eastAsia="Times New Roman" w:hAnsi="Arial" w:cs="Arial"/>
          <w:b/>
          <w:sz w:val="20"/>
          <w:szCs w:val="20"/>
        </w:rPr>
        <w:t xml:space="preserve"> Lei nº. 1.130/2023 que</w:t>
      </w:r>
      <w:r w:rsidR="005C05D2" w:rsidRPr="007B0BD3"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 xml:space="preserve"> - “</w:t>
      </w:r>
      <w:r w:rsidR="00F03272" w:rsidRPr="00F03272">
        <w:rPr>
          <w:rFonts w:ascii="Arial" w:eastAsia="Arial" w:hAnsi="Arial" w:cs="Arial"/>
          <w:sz w:val="20"/>
          <w:szCs w:val="20"/>
        </w:rPr>
        <w:t>Altera as disposições previstas na Lei nº 998, de 21 de maio de 2019 que dispõe sobre a organização, funcionamento e atuação do Conselho Tutelar e dá outras providências.</w:t>
      </w:r>
      <w:r w:rsidR="00F03272">
        <w:rPr>
          <w:rFonts w:ascii="Arial" w:eastAsia="Arial" w:hAnsi="Arial" w:cs="Arial"/>
          <w:sz w:val="20"/>
          <w:szCs w:val="20"/>
        </w:rPr>
        <w:t>”</w:t>
      </w:r>
      <w:r w:rsidR="00F03272" w:rsidRPr="00F03272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</w:t>
      </w:r>
      <w:r w:rsidR="00F03272" w:rsidRPr="007B0BD3">
        <w:rPr>
          <w:rFonts w:ascii="Arial" w:eastAsia="Arial" w:hAnsi="Arial" w:cs="Arial"/>
          <w:b/>
          <w:color w:val="000000" w:themeColor="text1"/>
          <w:sz w:val="20"/>
          <w:szCs w:val="20"/>
        </w:rPr>
        <w:t>Baixou às Comissões</w:t>
      </w:r>
    </w:p>
    <w:p w:rsidR="00F03272" w:rsidRPr="00F03272" w:rsidRDefault="00C85B9B" w:rsidP="00F03272">
      <w:pPr>
        <w:pStyle w:val="PargrafodaLista"/>
        <w:numPr>
          <w:ilvl w:val="0"/>
          <w:numId w:val="27"/>
        </w:numPr>
        <w:tabs>
          <w:tab w:val="left" w:pos="3774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3272">
        <w:rPr>
          <w:rFonts w:ascii="Arial" w:eastAsia="Arial" w:hAnsi="Arial" w:cs="Arial"/>
          <w:b/>
          <w:sz w:val="20"/>
          <w:szCs w:val="20"/>
        </w:rPr>
        <w:t>P</w:t>
      </w:r>
      <w:r w:rsidRPr="00F03272">
        <w:rPr>
          <w:rFonts w:ascii="Arial" w:eastAsia="Times New Roman" w:hAnsi="Arial" w:cs="Arial"/>
          <w:b/>
          <w:sz w:val="20"/>
          <w:szCs w:val="20"/>
        </w:rPr>
        <w:t>edido de Indicação protocolado pel</w:t>
      </w:r>
      <w:r w:rsidR="00F03272">
        <w:rPr>
          <w:rFonts w:ascii="Arial" w:eastAsia="Times New Roman" w:hAnsi="Arial" w:cs="Arial"/>
          <w:b/>
          <w:sz w:val="20"/>
          <w:szCs w:val="20"/>
        </w:rPr>
        <w:t>a</w:t>
      </w:r>
      <w:r w:rsidRPr="00F03272">
        <w:rPr>
          <w:rFonts w:ascii="Arial" w:eastAsia="Times New Roman" w:hAnsi="Arial" w:cs="Arial"/>
          <w:b/>
          <w:sz w:val="20"/>
          <w:szCs w:val="20"/>
        </w:rPr>
        <w:t xml:space="preserve"> Vereador</w:t>
      </w:r>
      <w:r w:rsidR="00F03272">
        <w:rPr>
          <w:rFonts w:ascii="Arial" w:eastAsia="Times New Roman" w:hAnsi="Arial" w:cs="Arial"/>
          <w:b/>
          <w:sz w:val="20"/>
          <w:szCs w:val="20"/>
        </w:rPr>
        <w:t>a</w:t>
      </w:r>
      <w:r w:rsidRPr="00F03272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F03272">
        <w:rPr>
          <w:rFonts w:ascii="Arial" w:eastAsia="Times New Roman" w:hAnsi="Arial" w:cs="Arial"/>
          <w:b/>
          <w:sz w:val="20"/>
          <w:szCs w:val="20"/>
        </w:rPr>
        <w:t>Silvana Teresinha Bauer</w:t>
      </w:r>
      <w:proofErr w:type="gramStart"/>
      <w:r w:rsidRPr="00F03272">
        <w:rPr>
          <w:rFonts w:ascii="Arial" w:eastAsia="Times New Roman" w:hAnsi="Arial" w:cs="Arial"/>
          <w:b/>
          <w:sz w:val="20"/>
          <w:szCs w:val="20"/>
        </w:rPr>
        <w:t xml:space="preserve">  </w:t>
      </w:r>
      <w:proofErr w:type="gramEnd"/>
      <w:r w:rsidRPr="00F03272">
        <w:rPr>
          <w:rFonts w:ascii="Arial" w:eastAsia="Times New Roman" w:hAnsi="Arial" w:cs="Arial"/>
          <w:b/>
          <w:sz w:val="20"/>
          <w:szCs w:val="20"/>
        </w:rPr>
        <w:t xml:space="preserve">- </w:t>
      </w:r>
      <w:r w:rsidR="00F03272">
        <w:rPr>
          <w:rFonts w:ascii="Arial" w:eastAsia="Times New Roman" w:hAnsi="Arial" w:cs="Arial"/>
          <w:b/>
          <w:sz w:val="20"/>
          <w:szCs w:val="20"/>
        </w:rPr>
        <w:t xml:space="preserve">União Brasil </w:t>
      </w:r>
      <w:r w:rsidRPr="00F03272">
        <w:rPr>
          <w:rFonts w:ascii="Arial" w:eastAsia="Times New Roman" w:hAnsi="Arial" w:cs="Arial"/>
          <w:b/>
          <w:sz w:val="20"/>
          <w:szCs w:val="20"/>
        </w:rPr>
        <w:t>que</w:t>
      </w:r>
      <w:r w:rsidR="00F03272">
        <w:rPr>
          <w:rFonts w:ascii="Arial" w:eastAsia="Times New Roman" w:hAnsi="Arial" w:cs="Arial"/>
          <w:b/>
          <w:sz w:val="20"/>
          <w:szCs w:val="20"/>
        </w:rPr>
        <w:t xml:space="preserve"> - </w:t>
      </w:r>
      <w:r w:rsidR="00F03272" w:rsidRPr="00F03272">
        <w:rPr>
          <w:rFonts w:cs="Arial"/>
          <w:b/>
          <w:sz w:val="24"/>
          <w:szCs w:val="24"/>
        </w:rPr>
        <w:t>Indica a secretaria Municipal da saúde,que através do departamento competente,produza uma cartilha educativa,ilustrada com imagens e passo a passo,sendo detalhada com ações a se tomar caso um bebe venha se engasgar. As instruções devem vir desde a chamada para emergência ate os primeiros socorros que devem ser realizados em casa.</w:t>
      </w:r>
      <w:r w:rsidR="00F03272">
        <w:rPr>
          <w:rFonts w:cs="Arial"/>
          <w:b/>
          <w:sz w:val="24"/>
          <w:szCs w:val="24"/>
        </w:rPr>
        <w:t xml:space="preserve"> </w:t>
      </w:r>
      <w:r w:rsidR="00F03272" w:rsidRPr="00F03272">
        <w:rPr>
          <w:rFonts w:cs="Arial"/>
          <w:b/>
          <w:sz w:val="24"/>
          <w:szCs w:val="24"/>
        </w:rPr>
        <w:t xml:space="preserve">Sendo voltada para famílias com bebes menores de </w:t>
      </w:r>
      <w:proofErr w:type="gramStart"/>
      <w:r w:rsidR="00F03272" w:rsidRPr="00F03272">
        <w:rPr>
          <w:rFonts w:cs="Arial"/>
          <w:b/>
          <w:sz w:val="24"/>
          <w:szCs w:val="24"/>
        </w:rPr>
        <w:t>1</w:t>
      </w:r>
      <w:proofErr w:type="gramEnd"/>
      <w:r w:rsidR="00F03272" w:rsidRPr="00F03272">
        <w:rPr>
          <w:rFonts w:cs="Arial"/>
          <w:b/>
          <w:sz w:val="24"/>
          <w:szCs w:val="24"/>
        </w:rPr>
        <w:t xml:space="preserve"> ano de idade,quando são mais propensos a engasgo sendo que  a mesma deve ser ofertada a população através do posto de saúde.</w:t>
      </w: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</w:t>
      </w: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56DC9" w:rsidRPr="00032BCE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D1623D">
      <w:pPr>
        <w:pStyle w:val="PargrafodaLista"/>
        <w:spacing w:after="0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0BD3" w:rsidRDefault="007B0BD3" w:rsidP="00351AF8">
      <w:pPr>
        <w:spacing w:after="0" w:line="240" w:lineRule="auto"/>
      </w:pPr>
      <w:r>
        <w:separator/>
      </w:r>
    </w:p>
  </w:endnote>
  <w:endnote w:type="continuationSeparator" w:id="1">
    <w:p w:rsidR="007B0BD3" w:rsidRDefault="007B0BD3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0BD3" w:rsidRDefault="007B0BD3" w:rsidP="00351AF8">
      <w:pPr>
        <w:spacing w:after="0" w:line="240" w:lineRule="auto"/>
      </w:pPr>
      <w:r>
        <w:separator/>
      </w:r>
    </w:p>
  </w:footnote>
  <w:footnote w:type="continuationSeparator" w:id="1">
    <w:p w:rsidR="007B0BD3" w:rsidRDefault="007B0BD3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BD3" w:rsidRDefault="00B1052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BD3" w:rsidRDefault="00B1052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BD3" w:rsidRDefault="00B1052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037033B0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9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2"/>
  </w:num>
  <w:num w:numId="9">
    <w:abstractNumId w:val="10"/>
  </w:num>
  <w:num w:numId="10">
    <w:abstractNumId w:val="14"/>
  </w:num>
  <w:num w:numId="11">
    <w:abstractNumId w:val="24"/>
  </w:num>
  <w:num w:numId="12">
    <w:abstractNumId w:val="20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7"/>
  </w:num>
  <w:num w:numId="20">
    <w:abstractNumId w:val="18"/>
  </w:num>
  <w:num w:numId="21">
    <w:abstractNumId w:val="23"/>
  </w:num>
  <w:num w:numId="22">
    <w:abstractNumId w:val="11"/>
  </w:num>
  <w:num w:numId="23">
    <w:abstractNumId w:val="21"/>
  </w:num>
  <w:num w:numId="24">
    <w:abstractNumId w:val="26"/>
  </w:num>
  <w:num w:numId="25">
    <w:abstractNumId w:val="3"/>
  </w:num>
  <w:num w:numId="26">
    <w:abstractNumId w:val="4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90DF6"/>
    <w:rsid w:val="00B95FB3"/>
    <w:rsid w:val="00BA159D"/>
    <w:rsid w:val="00BA1662"/>
    <w:rsid w:val="00BA1D90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2023-04-05T12:08:00Z</dcterms:created>
  <dcterms:modified xsi:type="dcterms:W3CDTF">2023-04-05T12:08:00Z</dcterms:modified>
</cp:coreProperties>
</file>